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CE73B0" w:rsidRDefault="00923C4C" w:rsidP="00945F1D">
      <w:r>
        <w:rPr>
          <w:b/>
        </w:rPr>
        <w:t xml:space="preserve">                           </w:t>
      </w:r>
      <w:r w:rsidR="00945F1D">
        <w:rPr>
          <w:b/>
        </w:rPr>
        <w:t xml:space="preserve">      </w:t>
      </w:r>
      <w:r>
        <w:rPr>
          <w:b/>
        </w:rPr>
        <w:t xml:space="preserve">       </w:t>
      </w:r>
      <w:r w:rsidR="00625AD4">
        <w:rPr>
          <w:b/>
        </w:rPr>
        <w:t xml:space="preserve">                      </w:t>
      </w:r>
      <w:r w:rsidR="00945F1D">
        <w:rPr>
          <w:b/>
        </w:rPr>
        <w:t>Требования</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B63BE7" w:rsidRDefault="00ED700F" w:rsidP="00A52E26">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755B46" w:rsidRPr="00654266" w:rsidRDefault="00755B46" w:rsidP="00755B46">
      <w:pPr>
        <w:widowControl w:val="0"/>
        <w:autoSpaceDE w:val="0"/>
        <w:autoSpaceDN w:val="0"/>
        <w:ind w:left="-567" w:firstLine="567"/>
        <w:jc w:val="both"/>
      </w:pPr>
      <w:r w:rsidRPr="00654266">
        <w:t xml:space="preserve">а) </w:t>
      </w:r>
      <w:r w:rsidRPr="00654266">
        <w:rPr>
          <w:b/>
        </w:rPr>
        <w:t xml:space="preserve">наличие высшего образования </w:t>
      </w:r>
      <w:r w:rsidRPr="00654266">
        <w:rPr>
          <w:b/>
          <w:u w:val="single"/>
        </w:rPr>
        <w:t>по специальности, направлению подготовки</w:t>
      </w:r>
      <w:r w:rsidRPr="00654266">
        <w:t>: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755B46" w:rsidRPr="00654266" w:rsidRDefault="00755B46" w:rsidP="00755B46">
      <w:pPr>
        <w:widowControl w:val="0"/>
        <w:autoSpaceDE w:val="0"/>
        <w:autoSpaceDN w:val="0"/>
        <w:ind w:left="-567" w:firstLine="567"/>
        <w:jc w:val="both"/>
      </w:pPr>
      <w:r w:rsidRPr="00654266">
        <w:rPr>
          <w:i/>
        </w:rPr>
        <w:t>Допустимые специальности, направления подготовки при условии наличия опыта работы в налоговых и финансовых органах</w:t>
      </w:r>
      <w:r w:rsidRPr="00654266">
        <w:t>:</w:t>
      </w:r>
    </w:p>
    <w:p w:rsidR="00755B46" w:rsidRPr="00654266" w:rsidRDefault="00755B46" w:rsidP="00755B46">
      <w:pPr>
        <w:widowControl w:val="0"/>
        <w:autoSpaceDE w:val="0"/>
        <w:autoSpaceDN w:val="0"/>
        <w:ind w:left="-567" w:firstLine="567"/>
        <w:jc w:val="both"/>
      </w:pPr>
      <w:r w:rsidRPr="00654266">
        <w:t>«Менеджмент», «Государственное и муниципальное управление»,</w:t>
      </w:r>
      <w:r w:rsidRPr="00654266">
        <w:rPr>
          <w:rFonts w:eastAsia="Calibri"/>
        </w:rPr>
        <w:t xml:space="preserve"> «Прикладная информатика в экономике», «Информационные системы в экономике», </w:t>
      </w:r>
      <w:r w:rsidRPr="00654266">
        <w:t xml:space="preserve"> «Коммерция» «Товароведение».</w:t>
      </w:r>
    </w:p>
    <w:p w:rsidR="00554B37" w:rsidRPr="00B63BE7" w:rsidRDefault="00554B37" w:rsidP="001E06EB">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755B46" w:rsidRDefault="00755B46" w:rsidP="00755B46">
      <w:pPr>
        <w:pStyle w:val="ConsPlusNormal"/>
        <w:ind w:left="-567"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включая </w:t>
      </w:r>
      <w:hyperlink r:id="rId9" w:history="1">
        <w:r>
          <w:rPr>
            <w:rStyle w:val="a6"/>
            <w:rFonts w:ascii="Times New Roman" w:hAnsi="Times New Roman"/>
            <w:sz w:val="24"/>
            <w:szCs w:val="24"/>
          </w:rPr>
          <w:t>Конституцию</w:t>
        </w:r>
      </w:hyperlink>
      <w:r>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Pr>
          <w:rFonts w:ascii="Times New Roman" w:hAnsi="Times New Roman" w:cs="Times New Roman"/>
          <w:sz w:val="24"/>
          <w:szCs w:val="24"/>
        </w:rPr>
        <w:t>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r>
        <w:rPr>
          <w:rFonts w:ascii="Times New Roman" w:hAnsi="Times New Roman" w:cs="Times New Roman"/>
          <w:sz w:val="24"/>
          <w:szCs w:val="24"/>
        </w:rPr>
        <w:t xml:space="preserve">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w:t>
      </w:r>
      <w:r w:rsidRPr="00B63BE7">
        <w:rPr>
          <w:rFonts w:ascii="Times New Roman" w:hAnsi="Times New Roman" w:cs="Times New Roman"/>
          <w:sz w:val="24"/>
          <w:szCs w:val="24"/>
        </w:rPr>
        <w:lastRenderedPageBreak/>
        <w:t xml:space="preserve">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755B46" w:rsidRPr="00654266" w:rsidRDefault="00755B46" w:rsidP="00755B46">
      <w:pPr>
        <w:ind w:left="-567" w:firstLine="567"/>
        <w:jc w:val="both"/>
        <w:rPr>
          <w:rFonts w:eastAsia="Calibri"/>
          <w:lang w:eastAsia="en-US"/>
        </w:rPr>
      </w:pPr>
      <w:r w:rsidRPr="00654266">
        <w:rPr>
          <w:rFonts w:eastAsia="Calibri"/>
          <w:lang w:eastAsia="en-US"/>
        </w:rPr>
        <w:t>- принципы, методы, технологии и механизмы осуществления контроля (надзора);</w:t>
      </w:r>
    </w:p>
    <w:p w:rsidR="00755B46" w:rsidRPr="00654266" w:rsidRDefault="00755B46" w:rsidP="00755B46">
      <w:pPr>
        <w:ind w:left="-567" w:firstLine="567"/>
        <w:jc w:val="both"/>
        <w:rPr>
          <w:rFonts w:eastAsia="Calibri"/>
          <w:lang w:eastAsia="en-US"/>
        </w:rPr>
      </w:pPr>
      <w:r w:rsidRPr="00654266">
        <w:rPr>
          <w:rFonts w:eastAsia="Calibri"/>
          <w:lang w:eastAsia="en-US"/>
        </w:rPr>
        <w:t>- виды, назначение и технологии организации проверочных процедур;</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понятие единого реестра проверок, процедура его формирования;</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институт предварительной проверки жалобы и иной информации, поступившей в контрольно-надзорный орган;</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процедура организации проверки: порядок, этапы, инструменты проведения;</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ограничения при проведении проверочных процедур;</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меры, принимаемые по результатам проверки;</w:t>
      </w:r>
    </w:p>
    <w:p w:rsidR="00755B46" w:rsidRPr="00654266" w:rsidRDefault="00755B46" w:rsidP="00755B46">
      <w:pPr>
        <w:framePr w:hSpace="180" w:wrap="around" w:vAnchor="text" w:hAnchor="text" w:x="-62" w:y="20"/>
        <w:ind w:left="-567" w:firstLine="567"/>
        <w:suppressOverlap/>
        <w:jc w:val="both"/>
        <w:rPr>
          <w:rFonts w:eastAsia="Calibri"/>
          <w:lang w:eastAsia="en-US"/>
        </w:rPr>
      </w:pPr>
      <w:r w:rsidRPr="00654266">
        <w:rPr>
          <w:rFonts w:eastAsia="Calibri"/>
          <w:lang w:eastAsia="en-US"/>
        </w:rPr>
        <w:t>- плановые (рейдовые) осмотры;</w:t>
      </w:r>
    </w:p>
    <w:p w:rsidR="00755B46" w:rsidRPr="00654266" w:rsidRDefault="00755B46" w:rsidP="00755B46">
      <w:pPr>
        <w:widowControl w:val="0"/>
        <w:autoSpaceDE w:val="0"/>
        <w:autoSpaceDN w:val="0"/>
        <w:ind w:left="-567" w:firstLine="567"/>
        <w:jc w:val="both"/>
        <w:rPr>
          <w:rFonts w:eastAsia="Calibri"/>
          <w:lang w:eastAsia="en-US"/>
        </w:rPr>
      </w:pPr>
      <w:r w:rsidRPr="00654266">
        <w:rPr>
          <w:rFonts w:eastAsia="Calibri"/>
          <w:lang w:eastAsia="en-US"/>
        </w:rPr>
        <w:t>- основания проведения и особенности внеплановых проверок.</w:t>
      </w:r>
    </w:p>
    <w:p w:rsidR="00755B46" w:rsidRPr="00654266" w:rsidRDefault="00755B46" w:rsidP="00755B46">
      <w:pPr>
        <w:widowControl w:val="0"/>
        <w:autoSpaceDE w:val="0"/>
        <w:autoSpaceDN w:val="0"/>
        <w:ind w:left="-567" w:firstLine="567"/>
        <w:jc w:val="both"/>
        <w:rPr>
          <w:b/>
        </w:rPr>
      </w:pPr>
      <w:r w:rsidRPr="00654266">
        <w:rPr>
          <w:b/>
        </w:rPr>
        <w:t xml:space="preserve">б) наличие функциональных умений: </w:t>
      </w:r>
    </w:p>
    <w:p w:rsidR="00755B46" w:rsidRPr="00654266" w:rsidRDefault="00755B46" w:rsidP="00755B46">
      <w:pPr>
        <w:autoSpaceDE w:val="0"/>
        <w:autoSpaceDN w:val="0"/>
        <w:adjustRightInd w:val="0"/>
        <w:ind w:left="-567" w:firstLine="567"/>
        <w:jc w:val="both"/>
        <w:outlineLvl w:val="2"/>
      </w:pPr>
      <w:r w:rsidRPr="00654266">
        <w:t>- проведение плановых и внеплановых документарных (камеральных) проверок (обследований);</w:t>
      </w:r>
    </w:p>
    <w:p w:rsidR="00755B46" w:rsidRPr="00654266" w:rsidRDefault="00755B46" w:rsidP="00755B46">
      <w:pPr>
        <w:autoSpaceDE w:val="0"/>
        <w:autoSpaceDN w:val="0"/>
        <w:adjustRightInd w:val="0"/>
        <w:ind w:left="-567" w:firstLine="567"/>
        <w:jc w:val="both"/>
        <w:outlineLvl w:val="2"/>
      </w:pPr>
      <w:r w:rsidRPr="00654266">
        <w:t>- проведение плановых и внеплановых выездных проверок;</w:t>
      </w:r>
    </w:p>
    <w:p w:rsidR="00755B46" w:rsidRPr="00654266" w:rsidRDefault="00755B46" w:rsidP="00755B46">
      <w:pPr>
        <w:tabs>
          <w:tab w:val="left" w:pos="993"/>
        </w:tabs>
        <w:autoSpaceDE w:val="0"/>
        <w:autoSpaceDN w:val="0"/>
        <w:adjustRightInd w:val="0"/>
        <w:ind w:left="-567" w:firstLine="567"/>
        <w:jc w:val="both"/>
        <w:outlineLvl w:val="2"/>
      </w:pPr>
      <w:r w:rsidRPr="00654266">
        <w:t>- формирование и ведение реестров, кадастров, регистров, перечней, каталогов, лицевых счетов для обеспечения контрольно-надзорных полномочий;</w:t>
      </w:r>
    </w:p>
    <w:p w:rsidR="00755B46" w:rsidRPr="00654266" w:rsidRDefault="00755B46" w:rsidP="00755B46">
      <w:pPr>
        <w:ind w:left="-567" w:firstLine="567"/>
        <w:jc w:val="both"/>
      </w:pPr>
      <w:r w:rsidRPr="00654266">
        <w:t>- осуществление контроля исполнения предписаний, решений и других распорядительных документов.</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lastRenderedPageBreak/>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483FB9">
        <w:rPr>
          <w:b/>
        </w:rPr>
        <w:t>06.02.2023</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lastRenderedPageBreak/>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lastRenderedPageBreak/>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bookmarkStart w:id="1" w:name="_GoBack"/>
      <w:bookmarkEnd w:id="1"/>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Pr="00B63BE7" w:rsidRDefault="00323045" w:rsidP="00881323">
      <w:pPr>
        <w:autoSpaceDE w:val="0"/>
        <w:autoSpaceDN w:val="0"/>
        <w:adjustRightInd w:val="0"/>
        <w:jc w:val="center"/>
      </w:pPr>
    </w:p>
    <w:sectPr w:rsidR="00323045" w:rsidRPr="00B63BE7"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52" w:rsidRDefault="00D96252" w:rsidP="001843F2">
      <w:r>
        <w:separator/>
      </w:r>
    </w:p>
  </w:endnote>
  <w:endnote w:type="continuationSeparator" w:id="0">
    <w:p w:rsidR="00D96252" w:rsidRDefault="00D96252"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52" w:rsidRDefault="00D96252" w:rsidP="001843F2">
      <w:r>
        <w:separator/>
      </w:r>
    </w:p>
  </w:footnote>
  <w:footnote w:type="continuationSeparator" w:id="0">
    <w:p w:rsidR="00D96252" w:rsidRDefault="00D96252" w:rsidP="001843F2">
      <w:r>
        <w:continuationSeparator/>
      </w:r>
    </w:p>
  </w:footnote>
  <w:footnote w:id="1">
    <w:p w:rsidR="00D96252" w:rsidRDefault="00D96252" w:rsidP="001843F2">
      <w:pPr>
        <w:pStyle w:val="a9"/>
        <w:ind w:firstLine="567"/>
      </w:pPr>
      <w:r>
        <w:rPr>
          <w:rStyle w:val="ab"/>
        </w:rPr>
        <w:t>*</w:t>
      </w:r>
      <w:r>
        <w:t> Нужное подчеркнуть.</w:t>
      </w:r>
    </w:p>
    <w:p w:rsidR="00D96252" w:rsidRDefault="00D96252" w:rsidP="001843F2">
      <w:pPr>
        <w:pStyle w:val="a9"/>
        <w:ind w:firstLine="567"/>
      </w:pPr>
    </w:p>
    <w:p w:rsidR="00D96252" w:rsidRDefault="00D96252" w:rsidP="001843F2">
      <w:pPr>
        <w:pStyle w:val="a9"/>
        <w:ind w:firstLine="567"/>
      </w:pPr>
    </w:p>
    <w:p w:rsidR="00D96252" w:rsidRDefault="00D96252"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52" w:rsidRDefault="00D96252">
    <w:pPr>
      <w:pStyle w:val="af"/>
      <w:jc w:val="center"/>
    </w:pPr>
    <w:r>
      <w:fldChar w:fldCharType="begin"/>
    </w:r>
    <w:r>
      <w:instrText>PAGE   \* MERGEFORMAT</w:instrText>
    </w:r>
    <w:r>
      <w:fldChar w:fldCharType="separate"/>
    </w:r>
    <w:r w:rsidR="00945F1D">
      <w:rPr>
        <w:noProof/>
      </w:rPr>
      <w:t>18</w:t>
    </w:r>
    <w:r>
      <w:fldChar w:fldCharType="end"/>
    </w:r>
  </w:p>
  <w:p w:rsidR="00D96252" w:rsidRDefault="00D9625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39A1"/>
    <w:rsid w:val="0019439B"/>
    <w:rsid w:val="00197A98"/>
    <w:rsid w:val="001A035D"/>
    <w:rsid w:val="001B326A"/>
    <w:rsid w:val="001C12DB"/>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83FB9"/>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45F1D"/>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D5057"/>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9252D-7EA2-495F-A35D-0BAAFDDA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6889</Words>
  <Characters>39268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2022-12-26T23:05:00Z</cp:lastPrinted>
  <dcterms:created xsi:type="dcterms:W3CDTF">2022-12-30T01:31:00Z</dcterms:created>
  <dcterms:modified xsi:type="dcterms:W3CDTF">2022-12-30T01:31:00Z</dcterms:modified>
</cp:coreProperties>
</file>